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-49530</wp:posOffset>
            </wp:positionV>
            <wp:extent cx="742950" cy="1160780"/>
            <wp:effectExtent l="0" t="0" r="0" b="1270"/>
            <wp:wrapNone/>
            <wp:docPr id="24" name="Picture 24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118745</wp:posOffset>
            </wp:positionV>
            <wp:extent cx="742950" cy="1038225"/>
            <wp:effectExtent l="0" t="0" r="0" b="9525"/>
            <wp:wrapNone/>
            <wp:docPr id="23" name="Picture 23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/>
          <w:b/>
          <w:sz w:val="28"/>
          <w:szCs w:val="28"/>
        </w:rPr>
        <w:t>A R I 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pt-BR"/>
        </w:rPr>
        <w:t>Comuna Grădiştea, Judeţul Valcea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gradistea@vl.e-adm.ro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Nr: 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>3180/27.04.2021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RAPORT  DE APROBARE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cu privire la: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rectificarea bugetului local pe anul 2021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În conformitate cu: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 prevederile art. 19 şi art. 20 din Legea nr. 273/2006, privind finanţele publice locale, cu modificările şi completările ulterioare;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- prevederile Legii nr.15/2021 privind legea bugetului de sat pe anul 2021;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 prevederile art.129 alin.2, litera ,,b”, si alin.4, litera „a”, din 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</w:rPr>
        <w:t>, cu modificările şi completările ulterioare.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Văzând adresa Agenției Județene a Administrației Fiscale nr. VLG_STZ-6639/22.04.2021, prin care ne transmit repartizarea sumelor defalcate din TVA pentru finantarea drumurilor judetene si comunale pe anul 2021 si estimari pe anii 2022-2024, precum si Hotararii Consiliului Judetean Valcea nr. 93/21.04.2021 privind repartizarea pe UAT a sumei de 27134 mii lei, din fondul la dispozitia Consiliului Judetean Valcea, constituit potrivit prevederilor art.6, alin.1, lit.c, din Legea bugetului de stat pe anul 2021, nr. 15/2021, dupa caz 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</w:p>
    <w:tbl>
      <w:tblPr>
        <w:tblStyle w:val="1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058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DENUMIRE VENITURI</w:t>
            </w:r>
          </w:p>
        </w:tc>
        <w:tc>
          <w:tcPr>
            <w:tcW w:w="213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2058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DENUMIRE CHELTUIELI</w:t>
            </w:r>
          </w:p>
        </w:tc>
        <w:tc>
          <w:tcPr>
            <w:tcW w:w="333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SUMA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  <w:t>CAP 11.02.05=45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Sume def.TVA drumuri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  <w:t>04.02.05=290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Sume def.imp.pe venitdin cota de 6%-fond la dispozitia consiliului judetean</w:t>
            </w:r>
          </w:p>
        </w:tc>
        <w:tc>
          <w:tcPr>
            <w:tcW w:w="213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val="ro-RO" w:eastAsia="zh-CN"/>
              </w:rPr>
              <w:t>+45</w:t>
            </w: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+290 MII LEI</w:t>
            </w:r>
          </w:p>
        </w:tc>
        <w:tc>
          <w:tcPr>
            <w:tcW w:w="2058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  <w:t>CAP 51.02=</w:t>
            </w: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>20.01.01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 xml:space="preserve">            20.01.03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 xml:space="preserve">            20.01.04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 xml:space="preserve">            20.01.05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 xml:space="preserve">            20.01.06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 xml:space="preserve">            20.01.08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 xml:space="preserve">            20.01.30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 xml:space="preserve">           20.30.30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  <w:t xml:space="preserve">CAP  </w:t>
            </w:r>
            <w:r>
              <w:rPr>
                <w:rFonts w:hint="default" w:ascii="Calibri" w:hAnsi="Calibri" w:eastAsia="SimSun" w:cs="Calibri"/>
                <w:bCs/>
                <w:sz w:val="24"/>
                <w:szCs w:val="24"/>
                <w:lang w:eastAsia="zh-CN"/>
              </w:rPr>
              <w:t>84.02=20.01.30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 xml:space="preserve">            20.20   </w:t>
            </w:r>
          </w:p>
        </w:tc>
        <w:tc>
          <w:tcPr>
            <w:tcW w:w="333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+4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+5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+15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+4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+70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+100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+72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eastAsia="zh-CN"/>
              </w:rPr>
              <w:t>+45 MII LEI</w:t>
            </w:r>
          </w:p>
        </w:tc>
      </w:tr>
    </w:tbl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Faţă de cele de mai sus, apreciez ca au fost parcurse etapele prealabile prevazute de lege.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PRIMAR,</w:t>
      </w:r>
    </w:p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8"/>
          <w:szCs w:val="28"/>
        </w:rPr>
        <w:t>BOIANGIU ILIE</w:t>
      </w:r>
    </w:p>
    <w:sectPr>
      <w:pgSz w:w="11906" w:h="16838"/>
      <w:pgMar w:top="1440" w:right="1406" w:bottom="1440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249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C447F07"/>
    <w:rsid w:val="2ECC4A54"/>
    <w:rsid w:val="5DE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2021-05-31T10:10:00Z</dcterms:created>
  <dc:creator>primarie</dc:creator>
  <cp:lastModifiedBy>primarie</cp:lastModifiedBy>
  <dcterms:modified xsi:type="dcterms:W3CDTF">2021-05-31T10:11:39Z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