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8"/>
          <w:szCs w:val="28"/>
          <w:lang w:val="fr-FR" w:eastAsia="ro-RO"/>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98425</wp:posOffset>
            </wp:positionH>
            <wp:positionV relativeFrom="paragraph">
              <wp:posOffset>102235</wp:posOffset>
            </wp:positionV>
            <wp:extent cx="819150" cy="1213485"/>
            <wp:effectExtent l="0" t="0" r="0" b="5715"/>
            <wp:wrapNone/>
            <wp:docPr id="5" name="Picture 5"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1213485"/>
                    </a:xfrm>
                    <a:prstGeom prst="rect">
                      <a:avLst/>
                    </a:prstGeom>
                    <a:noFill/>
                    <a:ln>
                      <a:noFill/>
                    </a:ln>
                  </pic:spPr>
                </pic:pic>
              </a:graphicData>
            </a:graphic>
          </wp:anchor>
        </w:drawing>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5136515</wp:posOffset>
            </wp:positionH>
            <wp:positionV relativeFrom="paragraph">
              <wp:posOffset>18415</wp:posOffset>
            </wp:positionV>
            <wp:extent cx="1111885" cy="800100"/>
            <wp:effectExtent l="0" t="0" r="0" b="12065"/>
            <wp:wrapNone/>
            <wp:docPr id="6" name="Picture 6"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11885" cy="800100"/>
                    </a:xfrm>
                    <a:prstGeom prst="rect">
                      <a:avLst/>
                    </a:prstGeom>
                    <a:noFill/>
                  </pic:spPr>
                </pic:pic>
              </a:graphicData>
            </a:graphic>
          </wp:anchor>
        </w:drawing>
      </w:r>
      <w:r>
        <w:rPr>
          <w:rFonts w:ascii="Times New Roman" w:hAnsi="Times New Roman" w:eastAsia="Times New Roman" w:cs="Times New Roman"/>
          <w:b/>
          <w:i/>
          <w:sz w:val="28"/>
          <w:szCs w:val="28"/>
          <w:lang w:val="pt-BR"/>
        </w:rPr>
        <w:t>Comuna Grădiştea, Judeţul Vîlcea</w:t>
      </w:r>
    </w:p>
    <w:p>
      <w:pPr>
        <w:spacing w:after="0" w:line="240" w:lineRule="auto"/>
        <w:ind w:right="-900"/>
        <w:jc w:val="center"/>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              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jc w:val="center"/>
        <w:rPr>
          <w:rFonts w:ascii="Times New Roman" w:hAnsi="Times New Roman" w:eastAsia="Times New Roman" w:cs="Times New Roman"/>
          <w:b/>
          <w:color w:val="0563C1" w:themeColor="hyperlink"/>
          <w:sz w:val="28"/>
          <w:szCs w:val="28"/>
          <w:u w:val="single"/>
          <w:lang w:val="fr-FR"/>
          <w14:textFill>
            <w14:solidFill>
              <w14:schemeClr w14:val="hlink"/>
            </w14:solidFill>
          </w14:textFill>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spacing w:after="0" w:line="240" w:lineRule="auto"/>
        <w:jc w:val="both"/>
        <w:rPr>
          <w:rFonts w:ascii="Times New Roman" w:hAnsi="Times New Roman" w:eastAsia="Times New Roman" w:cs="Times New Roman"/>
          <w:sz w:val="24"/>
          <w:szCs w:val="24"/>
          <w:lang w:val="fr-FR"/>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jc w:val="center"/>
        <w:rPr>
          <w:rFonts w:ascii="Times New Roman" w:hAnsi="Times New Roman" w:eastAsia="Times New Roman" w:cs="Times New Roman"/>
          <w:b/>
          <w:sz w:val="28"/>
          <w:szCs w:val="28"/>
          <w:lang w:val="ro-RO"/>
        </w:rPr>
      </w:pPr>
      <w:r>
        <w:rPr>
          <w:rFonts w:ascii="Times New Roman" w:hAnsi="Times New Roman" w:eastAsia="Times New Roman" w:cs="Times New Roman"/>
          <w:b/>
          <w:sz w:val="28"/>
          <w:szCs w:val="28"/>
          <w:lang w:val="ro-RO"/>
        </w:rPr>
        <w:t>PROIECT DE HOTĂRÂRE Nr. 40</w:t>
      </w:r>
    </w:p>
    <w:p>
      <w:pPr>
        <w:spacing w:after="0" w:line="240" w:lineRule="auto"/>
        <w:jc w:val="center"/>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lang w:val="pt-BR"/>
        </w:rPr>
        <w:t xml:space="preserve">PRIVIND: </w:t>
      </w:r>
      <w:r>
        <w:rPr>
          <w:rFonts w:ascii="Times New Roman" w:hAnsi="Times New Roman" w:eastAsia="Times New Roman" w:cs="Times New Roman"/>
          <w:b/>
          <w:sz w:val="28"/>
          <w:szCs w:val="28"/>
          <w:lang w:val="pt-BR"/>
        </w:rPr>
        <w:t>rectificarea bugetului local pe anul 2021</w:t>
      </w:r>
    </w:p>
    <w:p>
      <w:pPr>
        <w:tabs>
          <w:tab w:val="left" w:pos="1155"/>
        </w:tabs>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Consiliul local al comunei Grădiștea, întrunit în ședința ordinară din data 25 octombrie 2021,  la care participă un număr de _consilieri, din totalul de 11 consilieri în funcție;</w:t>
      </w:r>
    </w:p>
    <w:p>
      <w:pPr>
        <w:spacing w:after="0" w:line="240" w:lineRule="auto"/>
        <w:jc w:val="both"/>
        <w:rPr>
          <w:rFonts w:ascii="Times New Roman" w:hAnsi="Times New Roman" w:eastAsia="Times New Roman" w:cs="Times New Roman"/>
          <w:sz w:val="28"/>
          <w:szCs w:val="28"/>
          <w:lang w:val="ro-RO"/>
        </w:rPr>
      </w:pPr>
      <w:r>
        <w:rPr>
          <w:rFonts w:ascii="Times New Roman" w:hAnsi="Times New Roman" w:cs="Times New Roman"/>
          <w:sz w:val="28"/>
          <w:szCs w:val="28"/>
          <w:lang w:val="fr-FR" w:eastAsia="en-GB"/>
        </w:rPr>
        <w:t xml:space="preserve">       Văzând ca potrivit Hotărârii Consiliului Local Grădiștea cu nr. 27/30.07.2021, este ales președin</w:t>
      </w:r>
      <w:bookmarkStart w:id="1" w:name="_GoBack"/>
      <w:bookmarkEnd w:id="1"/>
      <w:r>
        <w:rPr>
          <w:rFonts w:ascii="Times New Roman" w:hAnsi="Times New Roman" w:cs="Times New Roman"/>
          <w:sz w:val="28"/>
          <w:szCs w:val="28"/>
          <w:lang w:val="fr-FR" w:eastAsia="en-GB"/>
        </w:rPr>
        <w:t>te de ședintă d-nul Dițoiu Ion</w:t>
      </w:r>
      <w:r>
        <w:rPr>
          <w:rFonts w:ascii="Times New Roman" w:hAnsi="Times New Roman" w:eastAsia="Times New Roman" w:cs="Times New Roman"/>
          <w:sz w:val="28"/>
          <w:szCs w:val="28"/>
          <w:lang w:val="ro-RO"/>
        </w:rPr>
        <w:t>;</w:t>
      </w:r>
    </w:p>
    <w:p>
      <w:pPr>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 xml:space="preserve">       </w:t>
      </w:r>
      <w:r>
        <w:rPr>
          <w:rFonts w:ascii="Times New Roman" w:hAnsi="Times New Roman" w:eastAsia="Times New Roman" w:cs="Times New Roman"/>
          <w:sz w:val="28"/>
          <w:szCs w:val="28"/>
          <w:lang w:val="fr-FR"/>
        </w:rPr>
        <w:t xml:space="preserve">Luând în dezbatere </w:t>
      </w:r>
      <w:r>
        <w:rPr>
          <w:rFonts w:ascii="Times New Roman" w:hAnsi="Times New Roman" w:eastAsia="Times New Roman" w:cs="Times New Roman"/>
          <w:sz w:val="28"/>
          <w:szCs w:val="28"/>
          <w:u w:val="single"/>
          <w:lang w:val="fr-FR"/>
        </w:rPr>
        <w:t>raportul de aprobare al cărui semnatar este primarul</w:t>
      </w:r>
      <w:r>
        <w:rPr>
          <w:rFonts w:ascii="Times New Roman" w:hAnsi="Times New Roman" w:eastAsia="Times New Roman" w:cs="Times New Roman"/>
          <w:sz w:val="28"/>
          <w:szCs w:val="28"/>
          <w:lang w:val="fr-FR"/>
        </w:rPr>
        <w:t xml:space="preserve"> comunei Grădiştea, înregistrat sub nr. 6.573/2021;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raportul întocmit de compartimentul de specialitate</w:t>
      </w:r>
      <w:r>
        <w:rPr>
          <w:rFonts w:ascii="Times New Roman" w:hAnsi="Times New Roman" w:eastAsia="Times New Roman" w:cs="Times New Roman"/>
          <w:sz w:val="28"/>
          <w:szCs w:val="28"/>
          <w:lang w:val="fr-FR"/>
        </w:rPr>
        <w:t xml:space="preserve"> din cadrul Primăriei Comunei Grădiștea, județul Vâlcea, prin care se propune rectificarea bugetului local pe anul 2021, înregistrat sub nr. 6.574/2021;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Văzând adresa Agenției Județene a Administrației Fiscale nr. VLG_STZ-16735/11.10.2021, prin care ne transmit repartizarea sumelor defalcate din unele venituri ale bugetului de stat pe anul 2021, actualizată potrivit HG nr. 1088/2021 privind alocarea unor sume defalcate din TVA pentru echilibrare din Fondul de rezervă la dispoziția Guvernului, pentru cheltuieli curente și de capital, Hotărârii Consiliului Județean Vâlcea nr. 184/30.09.2021 privind repartizarea sumelor defalcate din TVA pentru drumurile județene și comunale alocate în baza OUG nr. 97/2021 cu privire la rectificarea bugetului de stat pe anul 2021, respectiv Hotărârii Consiliului Județean Vâlcea nr. 182/30.09.2021 privind repartizarea sumelor defalcate din TVA alocate în baza OUG nr. 97/2021 în vederea derulării Programului pentru Școli al României, dupa caz.</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rapoartele comisiilor de specialitate</w:t>
      </w:r>
      <w:r>
        <w:rPr>
          <w:rFonts w:ascii="Times New Roman" w:hAnsi="Times New Roman" w:eastAsia="Times New Roman" w:cs="Times New Roman"/>
          <w:sz w:val="28"/>
          <w:szCs w:val="28"/>
          <w:lang w:val="fr-FR"/>
        </w:rPr>
        <w:t xml:space="preserve"> reunite ale consiliului local al comunei Grădiștea, prin care se avizează favorabil proiectul de hotărâre;</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Văzând </w:t>
      </w:r>
      <w:r>
        <w:rPr>
          <w:rFonts w:ascii="Times New Roman" w:hAnsi="Times New Roman" w:eastAsia="Times New Roman" w:cs="Times New Roman"/>
          <w:sz w:val="28"/>
          <w:szCs w:val="28"/>
          <w:u w:val="single"/>
          <w:lang w:val="fr-FR"/>
        </w:rPr>
        <w:t>raportul de avizare a legalității proiectului de hotărâre</w:t>
      </w:r>
      <w:r>
        <w:rPr>
          <w:rFonts w:ascii="Times New Roman" w:hAnsi="Times New Roman" w:eastAsia="Times New Roman" w:cs="Times New Roman"/>
          <w:sz w:val="28"/>
          <w:szCs w:val="28"/>
          <w:lang w:val="fr-FR"/>
        </w:rPr>
        <w:t xml:space="preserve"> întocmit de secretarul general al comunei, înregistrat sub nr.</w:t>
      </w:r>
      <w:r>
        <w:rPr>
          <w:rFonts w:ascii="Times New Roman" w:hAnsi="Times New Roman" w:eastAsia="Times New Roman" w:cs="Times New Roman"/>
          <w:sz w:val="24"/>
          <w:szCs w:val="24"/>
          <w:lang w:val="fr-FR"/>
        </w:rPr>
        <w:t xml:space="preserve"> </w:t>
      </w:r>
      <w:r>
        <w:rPr>
          <w:rFonts w:ascii="Times New Roman" w:hAnsi="Times New Roman" w:eastAsia="Times New Roman" w:cs="Times New Roman"/>
          <w:sz w:val="28"/>
          <w:szCs w:val="28"/>
          <w:lang w:val="fr-FR"/>
        </w:rPr>
        <w:t>6.575/2021;</w:t>
      </w:r>
    </w:p>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     Văzând că a fost respectată procedura transparenței decizionale conform art. 7 din Legea nr. 52/2003 - privind </w:t>
      </w:r>
      <w:r>
        <w:rPr>
          <w:rFonts w:ascii="Times New Roman" w:hAnsi="Times New Roman" w:eastAsia="Times New Roman" w:cs="Times New Roman"/>
          <w:bCs/>
          <w:sz w:val="28"/>
          <w:szCs w:val="28"/>
        </w:rPr>
        <w:t xml:space="preserve">transparența decizională în administrația publica, în baza anunțului </w:t>
      </w:r>
      <w:r>
        <w:rPr>
          <w:rFonts w:ascii="Times New Roman" w:hAnsi="Times New Roman" w:eastAsia="Times New Roman" w:cs="Times New Roman"/>
          <w:sz w:val="28"/>
          <w:szCs w:val="28"/>
          <w:lang w:val="fr-FR"/>
        </w:rPr>
        <w:t>înregistrat sub nr. 6.576/2021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conformitate cu: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 19 şi art. 20 din Legea nr. 273/2006, privind finanţele publice locale, cu modificările şi completările ulterioare;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-prevederile Legii nr. 15/2021 privind legea bugetului de sat pe anul 2021;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art.129 alin.2, litera ,,b”, si alin.4, litera „a”, din O.U.G. nr. 57/2019 </w:t>
      </w:r>
      <w:r>
        <w:rPr>
          <w:rFonts w:ascii="Times New Roman" w:hAnsi="Times New Roman" w:eastAsia="Times New Roman" w:cs="Times New Roman"/>
          <w:bCs/>
          <w:sz w:val="28"/>
          <w:szCs w:val="28"/>
        </w:rPr>
        <w:t>privind Codul administrativ</w:t>
      </w:r>
      <w:r>
        <w:rPr>
          <w:rFonts w:ascii="Times New Roman" w:hAnsi="Times New Roman" w:eastAsia="Times New Roman" w:cs="Times New Roman"/>
          <w:sz w:val="28"/>
          <w:szCs w:val="28"/>
        </w:rPr>
        <w:t>, cu modificările şi completările ulterioare.</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temeiul art.139, alin. 3), lit.a) si art. 196, alin.1), lit.a) din Ordonanța de Urgență a Guvernului nr. 57/2019 privind Codul Administrativ, cu modificările și </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lang w:eastAsia="ro-RO"/>
        </w:rPr>
      </w:pPr>
      <w:r>
        <w:rPr>
          <w:rFonts w:ascii="Times New Roman" w:hAnsi="Times New Roman" w:eastAsia="Times New Roman" w:cs="Times New Roman"/>
          <w:sz w:val="28"/>
          <w:szCs w:val="28"/>
        </w:rPr>
        <w:t>completările ulterioare, c</w:t>
      </w:r>
      <w:r>
        <w:rPr>
          <w:rFonts w:ascii="Times New Roman" w:hAnsi="Times New Roman" w:eastAsia="Times New Roman" w:cs="Times New Roman"/>
          <w:sz w:val="28"/>
          <w:szCs w:val="28"/>
          <w:lang w:val="fr-FR" w:eastAsia="ro-RO"/>
        </w:rPr>
        <w:t>u un număr de ___voturi   “pentru”, cu un număr de __ voturi   “împotrivă”, cu un număr de __ voturi   “abțineri”,  adoptă următoarea</w:t>
      </w:r>
      <w:r>
        <w:rPr>
          <w:rFonts w:ascii="Times New Roman" w:hAnsi="Times New Roman" w:eastAsia="Times New Roman" w:cs="Times New Roman"/>
          <w:sz w:val="28"/>
          <w:szCs w:val="28"/>
          <w:lang w:eastAsia="ro-RO"/>
        </w:rPr>
        <w:t>:</w:t>
      </w:r>
    </w:p>
    <w:p>
      <w:pPr>
        <w:spacing w:after="0" w:line="240" w:lineRule="auto"/>
        <w:jc w:val="both"/>
        <w:rPr>
          <w:rFonts w:ascii="Times New Roman" w:hAnsi="Times New Roman" w:eastAsia="Times New Roman" w:cs="Times New Roman"/>
          <w:sz w:val="28"/>
          <w:szCs w:val="28"/>
          <w:lang w:eastAsia="ro-RO"/>
        </w:rPr>
      </w:pPr>
    </w:p>
    <w:p>
      <w:pPr>
        <w:spacing w:after="0" w:line="240" w:lineRule="auto"/>
        <w:jc w:val="center"/>
        <w:rPr>
          <w:rFonts w:ascii="Times New Roman" w:hAnsi="Times New Roman" w:eastAsia="Times New Roman" w:cs="Times New Roman"/>
          <w:b/>
          <w:sz w:val="28"/>
          <w:szCs w:val="28"/>
          <w:lang w:val="fr-FR"/>
        </w:rPr>
      </w:pPr>
      <w:r>
        <w:rPr>
          <w:rFonts w:ascii="Times New Roman" w:hAnsi="Times New Roman" w:eastAsia="Times New Roman" w:cs="Times New Roman"/>
          <w:b/>
          <w:sz w:val="28"/>
          <w:szCs w:val="28"/>
          <w:lang w:val="fr-FR"/>
        </w:rPr>
        <w:t>H O T Ă R Â R E</w:t>
      </w:r>
    </w:p>
    <w:p>
      <w:pPr>
        <w:spacing w:after="0" w:line="240" w:lineRule="auto"/>
        <w:jc w:val="center"/>
        <w:rPr>
          <w:rFonts w:ascii="Times New Roman" w:hAnsi="Times New Roman" w:eastAsia="Times New Roman" w:cs="Times New Roman"/>
          <w:b/>
          <w:sz w:val="28"/>
          <w:szCs w:val="28"/>
          <w:lang w:val="fr-FR"/>
        </w:rPr>
      </w:pP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sz w:val="28"/>
          <w:szCs w:val="28"/>
          <w:lang w:val="fr-FR"/>
        </w:rPr>
        <w:t>Art.1.</w:t>
      </w:r>
      <w:r>
        <w:rPr>
          <w:rFonts w:ascii="Times New Roman" w:hAnsi="Times New Roman" w:eastAsia="Times New Roman" w:cs="Times New Roman"/>
          <w:sz w:val="28"/>
          <w:szCs w:val="28"/>
          <w:lang w:val="fr-FR"/>
        </w:rPr>
        <w:t xml:space="preserve"> Se aprob</w:t>
      </w:r>
      <w:r>
        <w:rPr>
          <w:rFonts w:ascii="Times New Roman" w:hAnsi="Times New Roman" w:eastAsia="Times New Roman" w:cs="Times New Roman"/>
          <w:sz w:val="28"/>
          <w:szCs w:val="28"/>
          <w:lang w:val="ro-RO"/>
        </w:rPr>
        <w:t>ă</w:t>
      </w:r>
      <w:r>
        <w:rPr>
          <w:rFonts w:ascii="Times New Roman" w:hAnsi="Times New Roman" w:eastAsia="Times New Roman" w:cs="Times New Roman"/>
          <w:sz w:val="28"/>
          <w:szCs w:val="28"/>
          <w:lang w:val="fr-FR"/>
        </w:rPr>
        <w:t xml:space="preserve"> rectificarea bugetului local pe anul 2021</w:t>
      </w:r>
      <w:r>
        <w:rPr>
          <w:rFonts w:ascii="Times New Roman" w:hAnsi="Times New Roman" w:eastAsia="Times New Roman" w:cs="Times New Roman"/>
          <w:sz w:val="24"/>
          <w:szCs w:val="24"/>
          <w:lang w:val="fr-FR"/>
        </w:rPr>
        <w:t xml:space="preserve">, </w:t>
      </w:r>
      <w:r>
        <w:rPr>
          <w:rFonts w:ascii="Times New Roman" w:hAnsi="Times New Roman" w:eastAsia="Times New Roman" w:cs="Times New Roman"/>
          <w:sz w:val="28"/>
          <w:szCs w:val="28"/>
          <w:lang w:val="fr-FR"/>
        </w:rPr>
        <w:t>dupa cum urmeaza :</w:t>
      </w:r>
    </w:p>
    <w:p>
      <w:pPr>
        <w:spacing w:after="0" w:line="240" w:lineRule="auto"/>
        <w:jc w:val="both"/>
        <w:rPr>
          <w:rFonts w:ascii="Times New Roman" w:hAnsi="Times New Roman" w:eastAsia="Times New Roman" w:cs="Times New Roman"/>
          <w:sz w:val="28"/>
          <w:szCs w:val="28"/>
          <w:lang w:val="fr-FR"/>
        </w:rPr>
      </w:pPr>
    </w:p>
    <w:tbl>
      <w:tblPr>
        <w:tblStyle w:val="11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058"/>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widowControl w:val="0"/>
              <w:spacing w:after="0" w:line="240" w:lineRule="auto"/>
              <w:jc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DENUMIRE VENITURI</w:t>
            </w:r>
          </w:p>
        </w:tc>
        <w:tc>
          <w:tcPr>
            <w:tcW w:w="2130" w:type="dxa"/>
          </w:tcPr>
          <w:p>
            <w:pPr>
              <w:widowControl w:val="0"/>
              <w:spacing w:after="0" w:line="240" w:lineRule="auto"/>
              <w:jc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SUMA</w:t>
            </w:r>
          </w:p>
        </w:tc>
        <w:tc>
          <w:tcPr>
            <w:tcW w:w="2058" w:type="dxa"/>
          </w:tcPr>
          <w:p>
            <w:pPr>
              <w:widowControl w:val="0"/>
              <w:spacing w:after="0" w:line="240" w:lineRule="auto"/>
              <w:jc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DENUMIRE CHELTUIELI</w:t>
            </w:r>
          </w:p>
        </w:tc>
        <w:tc>
          <w:tcPr>
            <w:tcW w:w="3330" w:type="dxa"/>
          </w:tcPr>
          <w:p>
            <w:pPr>
              <w:widowControl w:val="0"/>
              <w:spacing w:after="0" w:line="240" w:lineRule="auto"/>
              <w:jc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SUMA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exact"/>
        </w:trPr>
        <w:tc>
          <w:tcPr>
            <w:tcW w:w="2130" w:type="dxa"/>
            <w:vAlign w:val="top"/>
          </w:tcPr>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CAP 11.02.05</w:t>
            </w: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CAP 11.02.06</w:t>
            </w: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p>
            <w:pPr>
              <w:widowControl w:val="0"/>
              <w:spacing w:after="0" w:line="240" w:lineRule="auto"/>
              <w:jc w:val="center"/>
              <w:rPr>
                <w:rFonts w:ascii="Times New Roman" w:hAnsi="Times New Roman" w:eastAsia="SimSun" w:cs="Times New Roman"/>
                <w:sz w:val="24"/>
                <w:szCs w:val="24"/>
                <w:lang w:eastAsia="zh-CN"/>
              </w:rPr>
            </w:pPr>
          </w:p>
        </w:tc>
        <w:tc>
          <w:tcPr>
            <w:tcW w:w="2130" w:type="dxa"/>
            <w:vAlign w:val="top"/>
          </w:tcPr>
          <w:p>
            <w:pPr>
              <w:widowControl w:val="0"/>
              <w:spacing w:after="0" w:line="240" w:lineRule="auto"/>
              <w:jc w:val="both"/>
              <w:rPr>
                <w:rFonts w:ascii="Times New Roman" w:hAnsi="Times New Roman" w:eastAsia="SimSun" w:cs="Times New Roman"/>
                <w:sz w:val="24"/>
                <w:szCs w:val="24"/>
                <w:lang w:val="ro-RO" w:eastAsia="zh-CN"/>
              </w:rPr>
            </w:pP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val="ro-RO" w:eastAsia="zh-CN"/>
              </w:rPr>
              <w:t>+10</w:t>
            </w:r>
            <w:r>
              <w:rPr>
                <w:rFonts w:ascii="Times New Roman" w:hAnsi="Times New Roman" w:eastAsia="SimSun" w:cs="Times New Roman"/>
                <w:sz w:val="24"/>
                <w:szCs w:val="24"/>
                <w:lang w:eastAsia="zh-CN"/>
              </w:rPr>
              <w:t xml:space="preserve"> MII LEI</w:t>
            </w: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+400 MII LEI</w:t>
            </w: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tc>
        <w:tc>
          <w:tcPr>
            <w:tcW w:w="2058" w:type="dxa"/>
            <w:vAlign w:val="top"/>
          </w:tcPr>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CAP 84.02=</w:t>
            </w:r>
            <w:r>
              <w:rPr>
                <w:rFonts w:ascii="Times New Roman" w:hAnsi="Times New Roman" w:eastAsia="SimSun" w:cs="Times New Roman"/>
                <w:bCs/>
                <w:sz w:val="24"/>
                <w:szCs w:val="24"/>
                <w:lang w:eastAsia="zh-CN"/>
              </w:rPr>
              <w:t>20.01.03</w:t>
            </w:r>
          </w:p>
          <w:p>
            <w:pPr>
              <w:widowControl w:val="0"/>
              <w:spacing w:after="0" w:line="240" w:lineRule="auto"/>
              <w:jc w:val="both"/>
              <w:rPr>
                <w:rFonts w:ascii="Times New Roman" w:hAnsi="Times New Roman" w:eastAsia="SimSun" w:cs="Times New Roman"/>
                <w:bCs/>
                <w:sz w:val="24"/>
                <w:szCs w:val="24"/>
                <w:lang w:eastAsia="zh-CN"/>
              </w:rPr>
            </w:pPr>
            <w:r>
              <w:rPr>
                <w:rFonts w:ascii="Times New Roman" w:hAnsi="Times New Roman" w:eastAsia="SimSun" w:cs="Times New Roman"/>
                <w:sz w:val="24"/>
                <w:szCs w:val="24"/>
                <w:lang w:eastAsia="zh-CN"/>
              </w:rPr>
              <w:t xml:space="preserve">            </w:t>
            </w: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CAP 84.02=</w:t>
            </w:r>
            <w:r>
              <w:rPr>
                <w:rFonts w:ascii="Times New Roman" w:hAnsi="Times New Roman" w:eastAsia="SimSun" w:cs="Times New Roman"/>
                <w:bCs/>
                <w:sz w:val="24"/>
                <w:szCs w:val="24"/>
                <w:lang w:eastAsia="zh-CN"/>
              </w:rPr>
              <w:t>20.01.03</w:t>
            </w: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CAP 51.02=</w:t>
            </w:r>
            <w:r>
              <w:rPr>
                <w:rFonts w:ascii="Times New Roman" w:hAnsi="Times New Roman" w:eastAsia="SimSun" w:cs="Times New Roman"/>
                <w:bCs/>
                <w:sz w:val="24"/>
                <w:szCs w:val="24"/>
                <w:lang w:eastAsia="zh-CN"/>
              </w:rPr>
              <w:t>20.14</w:t>
            </w: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p>
            <w:pPr>
              <w:widowControl w:val="0"/>
              <w:spacing w:after="0" w:line="240" w:lineRule="auto"/>
              <w:jc w:val="both"/>
              <w:rPr>
                <w:rFonts w:ascii="Times New Roman" w:hAnsi="Times New Roman" w:eastAsia="SimSun" w:cs="Times New Roman"/>
                <w:b/>
                <w:bCs/>
                <w:sz w:val="24"/>
                <w:szCs w:val="24"/>
                <w:lang w:eastAsia="zh-CN"/>
              </w:rPr>
            </w:pPr>
          </w:p>
        </w:tc>
        <w:tc>
          <w:tcPr>
            <w:tcW w:w="3330" w:type="dxa"/>
            <w:vAlign w:val="top"/>
          </w:tcPr>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+10 MII LEI</w:t>
            </w: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+200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+100 MII LEI</w:t>
            </w: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+0,5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+47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+30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+0,5 MII LEI</w:t>
            </w:r>
          </w:p>
          <w:p>
            <w:pPr>
              <w:widowControl w:val="0"/>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+20 MII LEI</w:t>
            </w:r>
          </w:p>
        </w:tc>
      </w:tr>
    </w:tbl>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color w:val="000000"/>
          <w:sz w:val="28"/>
          <w:szCs w:val="28"/>
        </w:rPr>
        <w:t>Art.2.</w:t>
      </w:r>
      <w:r>
        <w:rPr>
          <w:rFonts w:ascii="Times New Roman" w:hAnsi="Times New Roman" w:eastAsia="Times New Roman" w:cs="Times New Roman"/>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Grădistea, compartimentului responsabil cu punerea în executare și persoanei responsabile cu aducerea la cunoștintă publică prin afișare la sediul Consiliului Local si pe site-ul propriu.</w:t>
      </w:r>
    </w:p>
    <w:p>
      <w:pPr>
        <w:spacing w:after="0" w:line="240" w:lineRule="auto"/>
        <w:jc w:val="both"/>
        <w:rPr>
          <w:rFonts w:ascii="Times New Roman" w:hAnsi="Times New Roman" w:eastAsia="Times New Roman" w:cs="Times New Roman"/>
          <w:sz w:val="28"/>
          <w:szCs w:val="28"/>
          <w:lang w:val="fr-FR"/>
        </w:rPr>
      </w:pPr>
    </w:p>
    <w:p>
      <w:pPr>
        <w:spacing w:after="0" w:line="240" w:lineRule="auto"/>
        <w:jc w:val="both"/>
        <w:rPr>
          <w:rFonts w:ascii="Times New Roman" w:hAnsi="Times New Roman" w:eastAsia="Times New Roman" w:cs="Times New Roman"/>
          <w:b/>
          <w:bCs/>
          <w:sz w:val="24"/>
          <w:szCs w:val="24"/>
          <w:lang w:val="fr-FR" w:eastAsia="ro-RO"/>
        </w:rPr>
      </w:pPr>
      <w:bookmarkStart w:id="0" w:name="OLE_LINK3"/>
      <w:r>
        <w:rPr>
          <w:rFonts w:ascii="Times New Roman" w:hAnsi="Times New Roman" w:eastAsia="Times New Roman" w:cs="Times New Roman"/>
          <w:b/>
          <w:bCs/>
          <w:sz w:val="24"/>
          <w:szCs w:val="24"/>
          <w:lang w:val="fr-FR" w:eastAsia="ro-RO"/>
        </w:rPr>
        <w:t xml:space="preserve">INIȚIATOR PROIECT, </w:t>
      </w:r>
    </w:p>
    <w:p>
      <w:pPr>
        <w:spacing w:after="0" w:line="240" w:lineRule="auto"/>
        <w:jc w:val="both"/>
        <w:rPr>
          <w:rFonts w:ascii="Times New Roman" w:hAnsi="Times New Roman" w:eastAsia="Times New Roman" w:cs="Times New Roman"/>
          <w:sz w:val="24"/>
          <w:szCs w:val="24"/>
          <w:lang w:val="it-IT" w:eastAsia="ro-RO"/>
        </w:rPr>
      </w:pPr>
      <w:r>
        <w:rPr>
          <w:rFonts w:ascii="Times New Roman" w:hAnsi="Times New Roman" w:eastAsia="Times New Roman" w:cs="Times New Roman"/>
          <w:b/>
          <w:bCs/>
          <w:sz w:val="24"/>
          <w:szCs w:val="24"/>
          <w:lang w:val="fr-FR" w:eastAsia="ro-RO"/>
        </w:rPr>
        <w:t xml:space="preserve">           PRIMAR                   </w:t>
      </w:r>
      <w:r>
        <w:rPr>
          <w:rFonts w:ascii="Times New Roman" w:hAnsi="Times New Roman" w:eastAsia="Times New Roman" w:cs="Times New Roman"/>
          <w:sz w:val="24"/>
          <w:szCs w:val="24"/>
          <w:lang w:val="fr-FR" w:eastAsia="ro-RO"/>
        </w:rPr>
        <w:t xml:space="preserve">                                         </w:t>
      </w:r>
      <w:r>
        <w:rPr>
          <w:rFonts w:ascii="Times New Roman" w:hAnsi="Times New Roman" w:eastAsia="Times New Roman" w:cs="Times New Roman"/>
          <w:sz w:val="24"/>
          <w:szCs w:val="24"/>
          <w:lang w:val="ro-RO" w:eastAsia="ro-RO"/>
        </w:rPr>
        <w:t>VIZAT PENTRU LEGALITATE,</w:t>
      </w:r>
      <w:r>
        <w:rPr>
          <w:rFonts w:ascii="Times New Roman" w:hAnsi="Times New Roman" w:eastAsia="Times New Roman" w:cs="Times New Roman"/>
          <w:sz w:val="24"/>
          <w:szCs w:val="24"/>
          <w:lang w:val="fr-FR" w:eastAsia="ro-RO"/>
        </w:rPr>
        <w:t xml:space="preserve">                   </w:t>
      </w:r>
    </w:p>
    <w:p>
      <w:pPr>
        <w:spacing w:after="0" w:line="240" w:lineRule="auto"/>
        <w:jc w:val="both"/>
        <w:rPr>
          <w:rFonts w:ascii="Times New Roman" w:hAnsi="Times New Roman" w:eastAsia="Times New Roman" w:cs="Times New Roman"/>
          <w:sz w:val="24"/>
          <w:szCs w:val="24"/>
          <w:lang w:val="pt-BR" w:eastAsia="ro-RO"/>
        </w:rPr>
      </w:pPr>
      <w:r>
        <w:rPr>
          <w:rFonts w:ascii="Times New Roman" w:hAnsi="Times New Roman" w:eastAsia="Times New Roman" w:cs="Times New Roman"/>
          <w:i/>
          <w:sz w:val="24"/>
          <w:szCs w:val="24"/>
          <w:lang w:val="pt-BR" w:eastAsia="ro-RO"/>
        </w:rPr>
        <w:t xml:space="preserve">inginer </w:t>
      </w:r>
      <w:r>
        <w:rPr>
          <w:rFonts w:ascii="Times New Roman" w:hAnsi="Times New Roman" w:eastAsia="Times New Roman" w:cs="Times New Roman"/>
          <w:sz w:val="24"/>
          <w:szCs w:val="24"/>
          <w:lang w:val="pt-BR" w:eastAsia="ro-RO"/>
        </w:rPr>
        <w:t>BOIANGIU ILIE</w:t>
      </w:r>
      <w:r>
        <w:rPr>
          <w:rFonts w:ascii="Times New Roman" w:hAnsi="Times New Roman" w:eastAsia="Times New Roman" w:cs="Times New Roman"/>
          <w:color w:val="FF0000"/>
          <w:sz w:val="24"/>
          <w:szCs w:val="24"/>
          <w:lang w:val="pt-BR" w:eastAsia="ro-RO"/>
        </w:rPr>
        <w:t xml:space="preserve">  </w:t>
      </w:r>
      <w:r>
        <w:rPr>
          <w:rFonts w:ascii="Times New Roman" w:hAnsi="Times New Roman" w:eastAsia="Times New Roman" w:cs="Times New Roman"/>
          <w:sz w:val="24"/>
          <w:szCs w:val="24"/>
          <w:lang w:val="pt-BR" w:eastAsia="ro-RO"/>
        </w:rPr>
        <w:t xml:space="preserve">                                          </w:t>
      </w:r>
      <w:r>
        <w:rPr>
          <w:rFonts w:ascii="Times New Roman" w:hAnsi="Times New Roman" w:eastAsia="Times New Roman" w:cs="Times New Roman"/>
          <w:b/>
          <w:sz w:val="24"/>
          <w:szCs w:val="24"/>
          <w:lang w:val="pt-BR" w:eastAsia="ro-RO"/>
        </w:rPr>
        <w:t>SECRETAR GENERAL AL UAT,</w:t>
      </w:r>
    </w:p>
    <w:p>
      <w:pPr>
        <w:spacing w:after="0" w:line="240" w:lineRule="auto"/>
        <w:rPr>
          <w:rFonts w:ascii="Times New Roman" w:hAnsi="Times New Roman" w:eastAsia="Times New Roman" w:cs="Times New Roman"/>
          <w:sz w:val="24"/>
          <w:szCs w:val="24"/>
          <w:lang w:val="pt-BR" w:eastAsia="en-GB"/>
        </w:rPr>
      </w:pPr>
      <w:r>
        <w:rPr>
          <w:rFonts w:ascii="Times New Roman" w:hAnsi="Times New Roman" w:eastAsia="Times New Roman" w:cs="Times New Roman"/>
          <w:sz w:val="24"/>
          <w:szCs w:val="24"/>
          <w:lang w:val="pt-BR" w:eastAsia="en-GB"/>
        </w:rPr>
        <w:tab/>
      </w:r>
      <w:r>
        <w:rPr>
          <w:rFonts w:ascii="Times New Roman" w:hAnsi="Times New Roman" w:eastAsia="Times New Roman" w:cs="Times New Roman"/>
          <w:sz w:val="24"/>
          <w:szCs w:val="24"/>
          <w:lang w:val="pt-BR" w:eastAsia="en-GB"/>
        </w:rPr>
        <w:t xml:space="preserve">    </w:t>
      </w:r>
      <w:r>
        <w:rPr>
          <w:rFonts w:ascii="Times New Roman" w:hAnsi="Times New Roman" w:eastAsia="Times New Roman" w:cs="Times New Roman"/>
          <w:b/>
          <w:sz w:val="24"/>
          <w:szCs w:val="24"/>
          <w:lang w:val="fr-FR" w:eastAsia="en-GB"/>
        </w:rPr>
        <w:t xml:space="preserve">                                                                     </w:t>
      </w:r>
      <w:r>
        <w:rPr>
          <w:rFonts w:ascii="Times New Roman" w:hAnsi="Times New Roman" w:eastAsia="Times New Roman" w:cs="Times New Roman"/>
          <w:i/>
          <w:sz w:val="24"/>
          <w:szCs w:val="24"/>
          <w:lang w:val="pt-BR" w:eastAsia="en-GB"/>
        </w:rPr>
        <w:t xml:space="preserve">jurist </w:t>
      </w:r>
      <w:r>
        <w:rPr>
          <w:rFonts w:ascii="Times New Roman" w:hAnsi="Times New Roman" w:eastAsia="Times New Roman" w:cs="Times New Roman"/>
          <w:sz w:val="24"/>
          <w:szCs w:val="24"/>
          <w:lang w:val="pt-BR" w:eastAsia="en-GB"/>
        </w:rPr>
        <w:t>COCOȘ-BARBU MILEMTINA</w:t>
      </w:r>
      <w:bookmarkEnd w:id="0"/>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pPr>
      <w:r>
        <w:rPr>
          <w:rFonts w:ascii="Times New Roman" w:hAnsi="Times New Roman" w:eastAsia="Times New Roman" w:cs="Times New Roman"/>
          <w:b/>
          <w:sz w:val="24"/>
          <w:szCs w:val="24"/>
          <w:lang w:val="fr-FR" w:eastAsia="en-GB"/>
        </w:rPr>
        <w:t>Grădiștea: 13 octombrie 2021</w:t>
      </w:r>
      <w:r>
        <w:rPr>
          <w:rFonts w:ascii="Times New Roman" w:hAnsi="Times New Roman" w:eastAsia="Times New Roman" w:cs="Times New Roman"/>
          <w:sz w:val="24"/>
          <w:szCs w:val="24"/>
          <w:lang w:val="pt-BR" w:eastAsia="en-GB"/>
        </w:rPr>
        <w:t xml:space="preserve">      </w:t>
      </w:r>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16C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67A816C8"/>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unhideWhenUsed="0" w:uiPriority="0" w:semiHidden="0"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2021-10-22T09:01:00Z</dcterms:created>
  <dc:creator>Liv</dc:creator>
  <cp:lastModifiedBy>Liv</cp:lastModifiedBy>
  <dcterms:modified xsi:type="dcterms:W3CDTF">2021-10-22T09:03:01Z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6CC920B286B246EF83DEBC3D55254383</vt:lpwstr>
  </property>
</Properties>
</file>